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EEE1" w14:textId="0C04C2A9" w:rsidR="004B5079" w:rsidRPr="002A3E24" w:rsidRDefault="00B9028C" w:rsidP="00D23AAA">
      <w:pPr>
        <w:rPr>
          <w:rFonts w:asciiTheme="majorHAnsi" w:hAnsiTheme="majorHAnsi" w:cstheme="majorHAnsi"/>
          <w:b/>
          <w:bCs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>PILOTED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3CB69936" w:rsidR="00292B0D" w:rsidRPr="002A3E24" w:rsidRDefault="00F56D45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4/5, Social Studies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55A09BE2" w:rsidR="00292B0D" w:rsidRPr="002A3E24" w:rsidRDefault="00F56D45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Sacred Heart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32838814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010C9913" w:rsidR="00292B0D" w:rsidRPr="002A3E24" w:rsidRDefault="00F56D45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D505E8">
              <w:rPr>
                <w:rFonts w:asciiTheme="majorHAnsi" w:hAnsiTheme="majorHAnsi" w:cstheme="majorHAnsi"/>
                <w:sz w:val="22"/>
                <w:szCs w:val="22"/>
              </w:rPr>
              <w:t>- 40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468A5D0E" w:rsidR="00707CAA" w:rsidRPr="002A3E24" w:rsidRDefault="00F56D45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Fur Trading Game: Review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DDB20FD" w:rsidR="00280B79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LESSON ORIENTATION</w:t>
      </w:r>
    </w:p>
    <w:p w14:paraId="56AA0733" w14:textId="28A70B41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2B678452" w14:textId="77777777" w:rsidR="00D9443B" w:rsidRPr="002A3E24" w:rsidRDefault="00D9443B" w:rsidP="007F04B8">
      <w:pPr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11677E0B" w:rsidR="00D9443B" w:rsidRPr="002A3E24" w:rsidRDefault="00D9443B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Briefly, describe purpose of lesson, and anything else to note about the context of lesson, students, or class, </w:t>
            </w:r>
            <w:proofErr w:type="gramStart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emergent learning needs being met at this time, elements of focus or emphasis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 occasions or school events</w:t>
            </w: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72FD47F9" w14:textId="77777777" w:rsidR="0031197B" w:rsidRPr="0031197B" w:rsidRDefault="0031197B" w:rsidP="0031197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31197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To introduce the fur trade and give students the knowledge they need to understand the context of the fur trade within Canadian history.</w:t>
            </w:r>
          </w:p>
          <w:p w14:paraId="79BF15A9" w14:textId="77777777" w:rsidR="0031197B" w:rsidRPr="0031197B" w:rsidRDefault="0031197B" w:rsidP="0031197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31197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https://www.thecanadianencyclopedia.ca/en/article/indian-trade-goods</w:t>
            </w:r>
          </w:p>
          <w:p w14:paraId="7C7C5259" w14:textId="32AEFE7D" w:rsidR="00D9443B" w:rsidRPr="002A3E24" w:rsidRDefault="0031197B" w:rsidP="0031197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31197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https://lawlessons.ca/curriculum/grade-4/fur-trade</w:t>
            </w: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5C8716DB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: </w:t>
      </w:r>
      <w:hyperlink r:id="rId13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33B20274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ore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check all that apply):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7C0F7221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Describe briefly how you intend to embed Core Competencies in your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, or the role that they have in your lesson.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484881AD" w14:textId="7849F539" w:rsidR="00D1153F" w:rsidRPr="002A3E24" w:rsidRDefault="00DC114A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0"/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364DB356" w14:textId="2CCDD4F1" w:rsidR="00F92924" w:rsidRPr="002A3E24" w:rsidRDefault="0075792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4ACB8ADA" w14:textId="56E4F53C" w:rsidR="00D1153F" w:rsidRPr="002A3E24" w:rsidRDefault="00DC114A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1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673655C8" w14:textId="0AD432E4" w:rsidR="00D1153F" w:rsidRPr="002A3E24" w:rsidRDefault="0031197B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2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Critical Thinking</w:t>
            </w:r>
          </w:p>
          <w:p w14:paraId="5D0AA40E" w14:textId="00FF229E" w:rsidR="00D1153F" w:rsidRPr="002A3E24" w:rsidRDefault="0031197B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3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Reflective Thinking</w:t>
            </w:r>
          </w:p>
          <w:p w14:paraId="6FD67D3B" w14:textId="725E4DA7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4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PERSONAL AND SOCIAL – Person</w:t>
            </w:r>
            <w:r w:rsidR="00507AA7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34CA5256" w14:textId="6C35B58A" w:rsidR="001903F5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5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Positive Personal and Cultural Identity </w:t>
            </w:r>
          </w:p>
          <w:p w14:paraId="485E82D3" w14:textId="4B298BE3" w:rsidR="007F04B8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6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Social Awareness </w:t>
            </w:r>
            <w:r w:rsidR="001903F5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56CB6991" w14:textId="77777777" w:rsidR="005A0FF7" w:rsidRDefault="0031197B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bCs/>
                <w:sz w:val="22"/>
                <w:szCs w:val="22"/>
              </w:rPr>
              <w:t>Reflecting and assessing</w:t>
            </w:r>
          </w:p>
          <w:p w14:paraId="5EB9AD88" w14:textId="77777777" w:rsidR="0031197B" w:rsidRDefault="0031197B" w:rsidP="0031197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bCs/>
                <w:sz w:val="22"/>
                <w:szCs w:val="22"/>
              </w:rPr>
              <w:t>I can use my observations</w:t>
            </w:r>
            <w:r w:rsidR="00760A6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</w:t>
            </w:r>
            <w:r w:rsidRPr="0031197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experience to draw conclusions and make judgments.</w:t>
            </w:r>
          </w:p>
          <w:p w14:paraId="6E4DBE87" w14:textId="77777777" w:rsidR="00F97639" w:rsidRDefault="00F97639" w:rsidP="00F9763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7DAE2165" w:rsidR="00F97639" w:rsidRPr="00F97639" w:rsidRDefault="00150849" w:rsidP="00F9763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this is a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review lesson students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are expected to reflect on </w:t>
            </w:r>
            <w:r w:rsidR="00A973CE">
              <w:rPr>
                <w:rFonts w:asciiTheme="majorHAnsi" w:hAnsiTheme="majorHAnsi" w:cstheme="majorHAnsi"/>
                <w:bCs/>
                <w:sz w:val="22"/>
                <w:szCs w:val="22"/>
              </w:rPr>
              <w:t>the game they played in a previous lesson and draw conclu</w:t>
            </w:r>
            <w:r w:rsidR="0042481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sions </w:t>
            </w:r>
            <w:r w:rsidR="002A2BE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based on that experience </w:t>
            </w:r>
            <w:r w:rsidR="001946A2">
              <w:rPr>
                <w:rFonts w:asciiTheme="majorHAnsi" w:hAnsiTheme="majorHAnsi" w:cstheme="majorHAnsi"/>
                <w:bCs/>
                <w:sz w:val="22"/>
                <w:szCs w:val="22"/>
              </w:rPr>
              <w:t>on how the fur trade operated</w:t>
            </w:r>
            <w:r w:rsidR="000C621D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="00EA358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Students must also exert their critical thinking skills to </w:t>
            </w:r>
            <w:r w:rsidR="00AF764B">
              <w:rPr>
                <w:rFonts w:asciiTheme="majorHAnsi" w:hAnsiTheme="majorHAnsi" w:cstheme="majorHAnsi"/>
                <w:bCs/>
                <w:sz w:val="22"/>
                <w:szCs w:val="22"/>
              </w:rPr>
              <w:t>connect their experi</w:t>
            </w:r>
            <w:r w:rsidR="008175A0">
              <w:rPr>
                <w:rFonts w:asciiTheme="majorHAnsi" w:hAnsiTheme="majorHAnsi" w:cstheme="majorHAnsi"/>
                <w:bCs/>
                <w:sz w:val="22"/>
                <w:szCs w:val="22"/>
              </w:rPr>
              <w:t>ence with the realities of the fur trade.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1E6FE9C4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(FPPL);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4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77777777" w:rsidR="005F4ED2" w:rsidRPr="002A3E24" w:rsidRDefault="005F4ED2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274"/>
      </w:tblGrid>
      <w:tr w:rsidR="00D1153F" w:rsidRPr="002A3E24" w14:paraId="31765346" w14:textId="77777777" w:rsidTr="003300B9">
        <w:trPr>
          <w:trHeight w:val="276"/>
        </w:trPr>
        <w:tc>
          <w:tcPr>
            <w:tcW w:w="6521" w:type="dxa"/>
            <w:shd w:val="clear" w:color="auto" w:fill="F2F2F2" w:themeFill="background1" w:themeFillShade="F2"/>
          </w:tcPr>
          <w:p w14:paraId="1300190A" w14:textId="12B4974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(check all that apply)</w:t>
            </w:r>
            <w:r w:rsidR="00E40F3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05CD5659" w14:textId="11CE7CA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How will </w:t>
            </w:r>
            <w:r w:rsidR="003300B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you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embed Indigenous worldviews, perspectives, or FPPL in the lesson?</w:t>
            </w:r>
          </w:p>
        </w:tc>
      </w:tr>
      <w:tr w:rsidR="00D1153F" w:rsidRPr="002A3E24" w14:paraId="43491D2A" w14:textId="77777777" w:rsidTr="002A3E24">
        <w:trPr>
          <w:trHeight w:val="848"/>
        </w:trPr>
        <w:tc>
          <w:tcPr>
            <w:tcW w:w="6521" w:type="dxa"/>
            <w:shd w:val="clear" w:color="auto" w:fill="F2F2F2" w:themeFill="background1" w:themeFillShade="F2"/>
          </w:tcPr>
          <w:p w14:paraId="23656E16" w14:textId="58403411" w:rsidR="00D1153F" w:rsidRPr="002A3E24" w:rsidRDefault="00E86C1B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</w:r>
            <w:r w:rsidR="004D0C23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end"/>
            </w:r>
            <w:bookmarkEnd w:id="7"/>
            <w:r w:rsidR="00D1153F"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Learning ultimately supports the well-being of the self, the family, the community, the land, the spirits, and the ancestors. </w:t>
            </w:r>
          </w:p>
          <w:p w14:paraId="053D0AAD" w14:textId="3F70C075" w:rsidR="00D1153F" w:rsidRPr="002A3E24" w:rsidRDefault="000C621D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is holistic, reflexive, reflective, experiential, and relational (focused on connectedness, on reciprocal relationships, and a sense of place). </w:t>
            </w:r>
          </w:p>
          <w:p w14:paraId="11CF49AB" w14:textId="71B6CF77" w:rsidR="00D1153F" w:rsidRPr="002A3E24" w:rsidRDefault="0031197B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recognizing the consequences of one's actions.</w:t>
            </w:r>
          </w:p>
          <w:p w14:paraId="5849EF26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generational roles and responsibilities.</w:t>
            </w:r>
          </w:p>
          <w:p w14:paraId="27687054" w14:textId="0C4417B2" w:rsidR="00D1153F" w:rsidRPr="002A3E24" w:rsidRDefault="0075792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recognizes the role of Indigenous knowledge.</w:t>
            </w:r>
          </w:p>
          <w:p w14:paraId="6CAA1317" w14:textId="34AB62A9" w:rsidR="00D1153F" w:rsidRPr="002A3E24" w:rsidRDefault="0075792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is embedded in memory, history, and story.</w:t>
            </w:r>
          </w:p>
          <w:p w14:paraId="53AB4B9F" w14:textId="19E758E0" w:rsidR="00D1153F" w:rsidRPr="002A3E24" w:rsidRDefault="00A508F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patience and time. </w:t>
            </w:r>
          </w:p>
          <w:p w14:paraId="6D80ECC0" w14:textId="6B599F91" w:rsidR="00D1153F" w:rsidRPr="002A3E24" w:rsidRDefault="00A508F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requires exploration of one's identity.</w:t>
            </w:r>
          </w:p>
          <w:p w14:paraId="0607615D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</w:r>
            <w:r w:rsidR="004D0C2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recognizing that some knowledge is sacred and only shared with permission and/or in certain situations.</w:t>
            </w:r>
          </w:p>
        </w:tc>
        <w:tc>
          <w:tcPr>
            <w:tcW w:w="4274" w:type="dxa"/>
          </w:tcPr>
          <w:p w14:paraId="70D027A8" w14:textId="77777777" w:rsidR="00D2193F" w:rsidRDefault="00DC149A" w:rsidP="00F673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7410CB03" w14:textId="1D7C845D" w:rsidR="000C621D" w:rsidRPr="00EE781F" w:rsidRDefault="000C621D" w:rsidP="00F673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this a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reflective lesson </w:t>
            </w:r>
            <w:r w:rsidR="00DE5787">
              <w:rPr>
                <w:rFonts w:asciiTheme="majorHAnsi" w:hAnsiTheme="majorHAnsi" w:cstheme="majorHAnsi"/>
                <w:bCs/>
                <w:sz w:val="22"/>
                <w:szCs w:val="22"/>
              </w:rPr>
              <w:t>students</w:t>
            </w:r>
            <w:proofErr w:type="gramEnd"/>
            <w:r w:rsidR="00DE578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are expected to recognize how their actions in the game </w:t>
            </w:r>
            <w:r w:rsidR="006B15E3">
              <w:rPr>
                <w:rFonts w:asciiTheme="majorHAnsi" w:hAnsiTheme="majorHAnsi" w:cstheme="majorHAnsi"/>
                <w:bCs/>
                <w:sz w:val="22"/>
                <w:szCs w:val="22"/>
              </w:rPr>
              <w:t>affected their success</w:t>
            </w:r>
            <w:r w:rsidR="0036120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E1C4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which parallels how the actions of fur traders often had unforeseen consequences. It is also important in this lesson that students recognize </w:t>
            </w:r>
            <w:r w:rsidR="00F1187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430F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intricacies of the relationships people had in the fur trade </w:t>
            </w:r>
            <w:r w:rsidR="00EA358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that these relationships were the most important aspect in the success of the fur trade. </w:t>
            </w:r>
          </w:p>
        </w:tc>
      </w:tr>
    </w:tbl>
    <w:p w14:paraId="1F66AEBA" w14:textId="77777777" w:rsidR="00EA5CDE" w:rsidRPr="002A3E24" w:rsidRDefault="00EA5CD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4D75215C" w:rsidR="00301E63" w:rsidRPr="002A3E24" w:rsidRDefault="00301E63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37C37809" w14:textId="10EA385C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5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(choose course under Curriculum</w:t>
      </w:r>
      <w:r w:rsidR="00267D5F">
        <w:rPr>
          <w:rFonts w:asciiTheme="majorHAnsi" w:hAnsiTheme="majorHAnsi" w:cstheme="majorHAnsi"/>
          <w:sz w:val="22"/>
          <w:szCs w:val="22"/>
        </w:rPr>
        <w:t>, match lesson to one or more Big Ideas</w:t>
      </w:r>
      <w:r w:rsidRPr="002A3E24">
        <w:rPr>
          <w:rFonts w:asciiTheme="majorHAnsi" w:hAnsiTheme="majorHAnsi" w:cstheme="majorHAnsi"/>
          <w:sz w:val="22"/>
          <w:szCs w:val="22"/>
        </w:rPr>
        <w:t>)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B91E629" w14:textId="77777777" w:rsidR="00301E63" w:rsidRPr="002A3E24" w:rsidRDefault="00301E63" w:rsidP="009318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understand? How is this lesson connected to Big Idea/s or an essential question?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78F81220" w14:textId="77777777" w:rsidR="0031197B" w:rsidRPr="0031197B" w:rsidRDefault="0031197B" w:rsidP="0031197B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31197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The pursuit of valuable natural resources has played a key role in changing the land, people, and communities of Canada.</w:t>
            </w:r>
          </w:p>
          <w:p w14:paraId="5FDC5F6B" w14:textId="77777777" w:rsidR="0031197B" w:rsidRPr="0031197B" w:rsidRDefault="0031197B" w:rsidP="0031197B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49301931" w14:textId="24456736" w:rsidR="003A6E99" w:rsidRPr="002A3E24" w:rsidRDefault="0031197B" w:rsidP="0031197B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31197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Essential Question: Why is the trading between European and Indigenous people central to creating what will later become Canada?</w:t>
            </w: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7E7D1904" w:rsidR="00D9443B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  <w:r w:rsidR="00301E63" w:rsidRPr="002A3E24">
        <w:rPr>
          <w:rFonts w:asciiTheme="majorHAnsi" w:hAnsiTheme="majorHAnsi" w:cstheme="majorHAnsi"/>
          <w:b/>
          <w:sz w:val="22"/>
          <w:szCs w:val="22"/>
        </w:rPr>
        <w:t>/INTENTIONS</w:t>
      </w:r>
    </w:p>
    <w:p w14:paraId="3ADBF707" w14:textId="1325293D" w:rsidR="00301E63" w:rsidRPr="002A3E24" w:rsidRDefault="00D9443B" w:rsidP="00301E63">
      <w:pPr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6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11"/>
        <w:gridCol w:w="5433"/>
      </w:tblGrid>
      <w:tr w:rsidR="0082137A" w:rsidRPr="002A3E24" w14:paraId="37A80B64" w14:textId="77777777" w:rsidTr="00282122">
        <w:trPr>
          <w:trHeight w:val="260"/>
        </w:trPr>
        <w:tc>
          <w:tcPr>
            <w:tcW w:w="541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7B00478B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82137A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48C7DBBF" w14:textId="6FE8626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do?</w:t>
            </w:r>
            <w:r w:rsidR="00301E63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7777777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Content:</w:t>
            </w:r>
          </w:p>
          <w:p w14:paraId="364607DA" w14:textId="3851CF7A" w:rsidR="0082137A" w:rsidRPr="002A3E24" w:rsidRDefault="0082137A" w:rsidP="008213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</w:t>
            </w:r>
            <w:r w:rsidR="000B3E5E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at are students expected to learn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82137A" w:rsidRPr="002A3E24" w14:paraId="0FEC2735" w14:textId="77777777" w:rsidTr="00282122">
        <w:trPr>
          <w:trHeight w:val="1347"/>
        </w:trPr>
        <w:tc>
          <w:tcPr>
            <w:tcW w:w="5411" w:type="dxa"/>
            <w:shd w:val="clear" w:color="auto" w:fill="auto"/>
          </w:tcPr>
          <w:p w14:paraId="7E364C37" w14:textId="493C6A11" w:rsidR="0031197B" w:rsidRPr="0031197B" w:rsidRDefault="0031197B" w:rsidP="0031197B">
            <w:pPr>
              <w:pStyle w:val="ListParagraph"/>
              <w:numPr>
                <w:ilvl w:val="0"/>
                <w:numId w:val="8"/>
              </w:numPr>
              <w:tabs>
                <w:tab w:val="left" w:pos="30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sz w:val="22"/>
                <w:szCs w:val="22"/>
              </w:rPr>
              <w:t>Make ethical judgments about events, decisions, or actions that consider the conditions of a particular time and place (ethical judgment)</w:t>
            </w:r>
          </w:p>
          <w:p w14:paraId="0416E068" w14:textId="77777777" w:rsidR="0031197B" w:rsidRPr="0031197B" w:rsidRDefault="0031197B" w:rsidP="0031197B">
            <w:pPr>
              <w:tabs>
                <w:tab w:val="left" w:pos="30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C9C2F6" w14:textId="7CABA429" w:rsidR="0031197B" w:rsidRPr="0031197B" w:rsidRDefault="0031197B" w:rsidP="0031197B">
            <w:pPr>
              <w:tabs>
                <w:tab w:val="left" w:pos="30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sz w:val="22"/>
                <w:szCs w:val="22"/>
              </w:rPr>
              <w:t>Students are expected to identify why early interactions between Indigenous peoples and the French were both positive and negative.</w:t>
            </w:r>
          </w:p>
        </w:tc>
        <w:tc>
          <w:tcPr>
            <w:tcW w:w="5433" w:type="dxa"/>
            <w:shd w:val="clear" w:color="auto" w:fill="auto"/>
          </w:tcPr>
          <w:p w14:paraId="2295705C" w14:textId="77777777" w:rsidR="0031197B" w:rsidRPr="0031197B" w:rsidRDefault="0031197B" w:rsidP="0031197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bCs/>
                <w:sz w:val="22"/>
                <w:szCs w:val="22"/>
              </w:rPr>
              <w:t>- early contact, trade, cooperation, and conflict between First Peoples and European peoples</w:t>
            </w:r>
          </w:p>
          <w:p w14:paraId="5A0430F1" w14:textId="77777777" w:rsidR="0031197B" w:rsidRPr="0031197B" w:rsidRDefault="0031197B" w:rsidP="0031197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bCs/>
                <w:sz w:val="22"/>
                <w:szCs w:val="22"/>
              </w:rPr>
              <w:t>- the fur trade in pre-Confederation Canada and British Columbia</w:t>
            </w:r>
          </w:p>
          <w:p w14:paraId="6DD67E3E" w14:textId="77777777" w:rsidR="0031197B" w:rsidRPr="0031197B" w:rsidRDefault="0031197B" w:rsidP="0031197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58B5F18E" w:rsidR="002A59A3" w:rsidRPr="00EE781F" w:rsidRDefault="0031197B" w:rsidP="0031197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197B">
              <w:rPr>
                <w:rFonts w:asciiTheme="majorHAnsi" w:hAnsiTheme="majorHAnsi" w:cstheme="majorHAnsi"/>
                <w:bCs/>
                <w:sz w:val="22"/>
                <w:szCs w:val="22"/>
              </w:rPr>
              <w:t>Students are expected to learn that trading and cooperation was key to the success of the fur trade.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74ABE8CF" w14:textId="12C6BCD7" w:rsidR="00EE781F" w:rsidRDefault="00282122" w:rsidP="00282122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7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8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77777777" w:rsidR="00282122" w:rsidRPr="002A3E24" w:rsidRDefault="00282122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931804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0EE3F728" w:rsidR="00282122" w:rsidRPr="002A3E24" w:rsidRDefault="00CB4CBB" w:rsidP="0093180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 intentions? </w:t>
            </w:r>
            <w:r w:rsidR="00EA4A2A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they know if they are proficient?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</w:t>
            </w:r>
            <w:r w:rsidR="00EA4A2A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collected, </w:t>
            </w:r>
            <w:proofErr w:type="gramStart"/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documented</w:t>
            </w:r>
            <w:proofErr w:type="gramEnd"/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and shared?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Mention any opportunities for feedback, self-assessment, peer assessment and teacher assessment. What tools, structures, or rubrics will you use to assess student learning (</w:t>
            </w:r>
            <w:proofErr w:type="gramStart"/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e.g.</w:t>
            </w:r>
            <w:proofErr w:type="gramEnd"/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? Will the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assessments be </w:t>
            </w:r>
            <w:r w:rsidR="00282122"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formative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282122"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summative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or both</w:t>
            </w:r>
            <w:r w:rsidR="00D441B2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1F8039BB" w14:textId="0E12CB2A" w:rsidR="00282122" w:rsidRDefault="006A1AB5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I ca</w:t>
            </w:r>
            <w:r w:rsidR="00A31E84">
              <w:rPr>
                <w:rFonts w:asciiTheme="majorHAnsi" w:hAnsiTheme="majorHAnsi" w:cstheme="majorHAnsi"/>
                <w:iCs/>
                <w:sz w:val="22"/>
                <w:szCs w:val="22"/>
              </w:rPr>
              <w:t>n reflect on my experience playing the fur trading game to answer questions.</w:t>
            </w:r>
          </w:p>
          <w:p w14:paraId="3FB11CDC" w14:textId="77777777" w:rsidR="0088093F" w:rsidRDefault="0088093F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E284E66" w14:textId="62BCA34A" w:rsidR="000C65CD" w:rsidRPr="004D1BFA" w:rsidRDefault="000C65CD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Students demonstrate their learning </w:t>
            </w:r>
            <w:r w:rsidR="005C5D40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by participating in class discussion and will know they are proficient when they can answer the </w:t>
            </w:r>
            <w:r w:rsidR="001B7AAC">
              <w:rPr>
                <w:rFonts w:asciiTheme="majorHAnsi" w:hAnsiTheme="majorHAnsi" w:cstheme="majorHAnsi"/>
                <w:iCs/>
                <w:sz w:val="22"/>
                <w:szCs w:val="22"/>
              </w:rPr>
              <w:t>questions in their fur t</w:t>
            </w:r>
            <w:r w:rsidR="001A7A8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rade journal </w:t>
            </w:r>
            <w:r w:rsidR="009921E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based </w:t>
            </w:r>
            <w:r w:rsidR="001076BB">
              <w:rPr>
                <w:rFonts w:asciiTheme="majorHAnsi" w:hAnsiTheme="majorHAnsi" w:cstheme="majorHAnsi"/>
                <w:iCs/>
                <w:sz w:val="22"/>
                <w:szCs w:val="22"/>
              </w:rPr>
              <w:t>on the discussion. Evidence will be collected through the worksheets w</w:t>
            </w:r>
            <w:r w:rsidR="00644C9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hich will gage student understanding. </w:t>
            </w:r>
            <w:r w:rsidR="00D54C5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Students will be given an opportunity for feedback </w:t>
            </w:r>
            <w:r w:rsidR="00DC54FD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throughout the lesson as </w:t>
            </w:r>
            <w:r w:rsidR="003C7C5C">
              <w:rPr>
                <w:rFonts w:asciiTheme="majorHAnsi" w:hAnsiTheme="majorHAnsi" w:cstheme="majorHAnsi"/>
                <w:iCs/>
                <w:sz w:val="22"/>
                <w:szCs w:val="22"/>
              </w:rPr>
              <w:t>teacher circulates the room</w:t>
            </w:r>
            <w:r w:rsidR="00E81C9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as well as during the discussion</w:t>
            </w:r>
            <w:r w:rsidR="003C7C5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and teacher will assess understanding </w:t>
            </w:r>
            <w:r w:rsidR="00A229C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by marking fur trading journal. This lesson will be </w:t>
            </w:r>
            <w:r w:rsidR="00454B1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summative as it will complete the </w:t>
            </w:r>
            <w:r w:rsidR="00136BA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learning the students gained in the fur trading game played previously. </w:t>
            </w:r>
          </w:p>
        </w:tc>
      </w:tr>
    </w:tbl>
    <w:p w14:paraId="6FE99C83" w14:textId="77777777" w:rsidR="00282122" w:rsidRPr="002A3E24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9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3B7D78D1" w14:textId="77777777" w:rsidR="001B3691" w:rsidRPr="001B3691" w:rsidRDefault="001B3691" w:rsidP="001B3691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1B369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All Students: must participate in class discussion and answer a question based on that</w:t>
            </w:r>
          </w:p>
          <w:p w14:paraId="5790ABA3" w14:textId="77777777" w:rsidR="001B3691" w:rsidRPr="001B3691" w:rsidRDefault="001B3691" w:rsidP="001B3691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1B369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Most Students: can contribute new ideas and relate their experience to the fur trade</w:t>
            </w:r>
          </w:p>
          <w:p w14:paraId="79F535B1" w14:textId="0674DC06" w:rsidR="002A3566" w:rsidRPr="002A3E24" w:rsidRDefault="001B3691" w:rsidP="002A3566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1B3691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Some Students: could contribute new ideas and write detailed answers based on their fur trade experience in the game.</w:t>
            </w: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lastRenderedPageBreak/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4C711313" w14:textId="3A92ABE4" w:rsidR="00740DA2" w:rsidRPr="008749B6" w:rsidRDefault="00740DA2" w:rsidP="008749B6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My Fur Trading Journal workshee</w:t>
            </w:r>
            <w:r w:rsidR="008749B6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</w:t>
            </w:r>
          </w:p>
        </w:tc>
      </w:tr>
    </w:tbl>
    <w:p w14:paraId="51A47941" w14:textId="48952645" w:rsidR="00282122" w:rsidRDefault="00282122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1CE9F8EA" w14:textId="77777777" w:rsidR="00633ADD" w:rsidRPr="002A3E24" w:rsidRDefault="00633ADD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7AAFE05E" w14:textId="535677FD" w:rsidR="00210166" w:rsidRPr="002A3E24" w:rsidRDefault="007A54CE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 xml:space="preserve">LESSON </w:t>
      </w:r>
      <w:r w:rsidR="00EB063E" w:rsidRPr="002A3E24">
        <w:rPr>
          <w:rFonts w:asciiTheme="majorHAnsi" w:hAnsiTheme="majorHAnsi" w:cstheme="majorHAnsi"/>
          <w:b/>
          <w:bCs/>
          <w:sz w:val="22"/>
          <w:szCs w:val="22"/>
        </w:rPr>
        <w:t>OUTLINE</w:t>
      </w:r>
    </w:p>
    <w:p w14:paraId="2DDA5122" w14:textId="77777777" w:rsidR="00D40150" w:rsidRPr="002A3E24" w:rsidRDefault="00D40150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91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7229"/>
        <w:gridCol w:w="1276"/>
      </w:tblGrid>
      <w:tr w:rsidR="00A56954" w:rsidRPr="002A3E24" w14:paraId="18647A30" w14:textId="77777777" w:rsidTr="00D441B2">
        <w:trPr>
          <w:trHeight w:hRule="exact" w:val="43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AB18B3" w14:textId="40826363" w:rsidR="00A56954" w:rsidRPr="002A3E24" w:rsidRDefault="003300B9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DF525C" w14:textId="6C62FADE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7A54CE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Does/Teacher Does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(learning activities to target le</w:t>
            </w:r>
            <w:r w:rsidR="004D6B7A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rning intentions)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676A44" w14:textId="3129004A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A56954" w:rsidRPr="002A3E24" w14:paraId="666BC7B5" w14:textId="77777777" w:rsidTr="00D441B2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C0C85F3" w14:textId="129CE976" w:rsidR="00A56954" w:rsidRPr="002A3E24" w:rsidRDefault="004D6B7A" w:rsidP="00E147E5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7C6C30F5" w14:textId="6F212087" w:rsidR="00F830D5" w:rsidRPr="002A3E24" w:rsidRDefault="003300B9" w:rsidP="002A3E2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D441B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 w:rsidR="00507AA7"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motivator, or other introduction to 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engag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students and activat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 thinking and prior knowledge</w:t>
            </w:r>
            <w:r w:rsidR="00005B3F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12F8EEBB" w14:textId="77777777" w:rsidR="00E86C1B" w:rsidRDefault="00E86C1B" w:rsidP="00526A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09CDB79" w14:textId="0BFC2CC8" w:rsidR="00F56D45" w:rsidRDefault="00F56D45" w:rsidP="00526A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Greet students and prompt them to remember the game we played the week before. Was it good? Bad? </w:t>
            </w:r>
            <w:r w:rsidR="00F7025A">
              <w:rPr>
                <w:rFonts w:asciiTheme="majorHAnsi" w:hAnsiTheme="majorHAnsi" w:cstheme="majorHAnsi"/>
                <w:bCs/>
                <w:sz w:val="22"/>
                <w:szCs w:val="22"/>
              </w:rPr>
              <w:t>Fun?</w:t>
            </w:r>
            <w:r w:rsidR="00FB05E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Too complicated?</w:t>
            </w:r>
          </w:p>
          <w:p w14:paraId="2F262798" w14:textId="77777777" w:rsidR="00F56D45" w:rsidRDefault="00F56D45" w:rsidP="00526A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9F1F56" w14:textId="56D38994" w:rsidR="00F56D45" w:rsidRPr="004D1BFA" w:rsidRDefault="00F56D45" w:rsidP="00526A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Ask students to give their scores from the previous day.</w:t>
            </w:r>
            <w:r w:rsidR="008749B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*If students have lost this piece </w:t>
            </w:r>
            <w:r w:rsidR="00A86F43">
              <w:rPr>
                <w:rFonts w:asciiTheme="majorHAnsi" w:hAnsiTheme="majorHAnsi" w:cstheme="majorHAnsi"/>
                <w:bCs/>
                <w:sz w:val="22"/>
                <w:szCs w:val="22"/>
              </w:rPr>
              <w:t>that is OK.</w:t>
            </w:r>
          </w:p>
        </w:tc>
        <w:tc>
          <w:tcPr>
            <w:tcW w:w="1276" w:type="dxa"/>
          </w:tcPr>
          <w:p w14:paraId="17534F4A" w14:textId="77777777" w:rsidR="00270524" w:rsidRDefault="00270524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292F7E2" w14:textId="77777777" w:rsidR="00E86C1B" w:rsidRDefault="008749B6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  <w:p w14:paraId="31E86BBC" w14:textId="77777777" w:rsidR="008749B6" w:rsidRDefault="008749B6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C0D593E" w14:textId="77777777" w:rsidR="008749B6" w:rsidRDefault="008749B6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821BA8" w14:textId="506F4183" w:rsidR="008749B6" w:rsidRPr="004D1BFA" w:rsidRDefault="008749B6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</w:tc>
      </w:tr>
      <w:tr w:rsidR="00EE781F" w:rsidRPr="002A3E24" w14:paraId="4D63A592" w14:textId="77777777" w:rsidTr="00797F83">
        <w:trPr>
          <w:trHeight w:val="1266"/>
        </w:trPr>
        <w:tc>
          <w:tcPr>
            <w:tcW w:w="2410" w:type="dxa"/>
            <w:shd w:val="clear" w:color="auto" w:fill="F2F2F2" w:themeFill="background1" w:themeFillShade="F2"/>
          </w:tcPr>
          <w:p w14:paraId="76EE1359" w14:textId="43E02F5E" w:rsidR="00EE781F" w:rsidRPr="002A3E24" w:rsidRDefault="00EE781F" w:rsidP="00EE781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17374D9F" w14:textId="76537FB2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4D8BE3F0" w14:textId="574CB769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0B32E1CC" w14:textId="48AE4E04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49385EB7" w14:textId="7760F45F" w:rsidR="00EE781F" w:rsidRPr="002A3E24" w:rsidRDefault="00633ADD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7229" w:type="dxa"/>
          </w:tcPr>
          <w:p w14:paraId="683D99CC" w14:textId="36F61948" w:rsidR="00DF2460" w:rsidRDefault="00DF2460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Give students feedback</w:t>
            </w:r>
            <w:r w:rsidR="00914FB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teacher observation of game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: </w:t>
            </w:r>
            <w:r w:rsidR="009F4F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Most students worked well as a team, </w:t>
            </w:r>
            <w:r w:rsidR="00914FBD">
              <w:rPr>
                <w:rFonts w:asciiTheme="majorHAnsi" w:hAnsiTheme="majorHAnsi" w:cstheme="majorHAnsi"/>
                <w:bCs/>
                <w:sz w:val="22"/>
                <w:szCs w:val="22"/>
              </w:rPr>
              <w:t>and some must remember that staying together is the goal</w:t>
            </w:r>
            <w:r w:rsidR="00F264A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a cohesive unit. Students did well </w:t>
            </w:r>
            <w:r w:rsidR="002D144B">
              <w:rPr>
                <w:rFonts w:asciiTheme="majorHAnsi" w:hAnsiTheme="majorHAnsi" w:cstheme="majorHAnsi"/>
                <w:bCs/>
                <w:sz w:val="22"/>
                <w:szCs w:val="22"/>
              </w:rPr>
              <w:t>in the trading portion with all groups displaying the skills needed to negotiate</w:t>
            </w:r>
            <w:r w:rsidR="00F078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although some teams got confused on what items they </w:t>
            </w:r>
            <w:r w:rsidR="00D3059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were trading for. </w:t>
            </w:r>
            <w:r w:rsidR="005A2D1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 </w:t>
            </w:r>
            <w:proofErr w:type="gramStart"/>
            <w:r w:rsidR="005A2D16">
              <w:rPr>
                <w:rFonts w:asciiTheme="majorHAnsi" w:hAnsiTheme="majorHAnsi" w:cstheme="majorHAnsi"/>
                <w:bCs/>
                <w:sz w:val="22"/>
                <w:szCs w:val="22"/>
              </w:rPr>
              <w:t>all;</w:t>
            </w:r>
            <w:proofErr w:type="gramEnd"/>
            <w:r w:rsidR="005A2D1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1615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Participation was fantastic! Teamwork </w:t>
            </w:r>
            <w:r w:rsidR="005A2D16">
              <w:rPr>
                <w:rFonts w:asciiTheme="majorHAnsi" w:hAnsiTheme="majorHAnsi" w:cstheme="majorHAnsi"/>
                <w:bCs/>
                <w:sz w:val="22"/>
                <w:szCs w:val="22"/>
              </w:rPr>
              <w:t>was very good. All students</w:t>
            </w:r>
            <w:r w:rsidR="004D0C2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were successful playing the game.</w:t>
            </w:r>
          </w:p>
          <w:p w14:paraId="42DB61CB" w14:textId="77777777" w:rsidR="00624127" w:rsidRDefault="00624127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3B718C4" w14:textId="1D0BC97E" w:rsidR="00EE781F" w:rsidRDefault="00025459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(?) </w:t>
            </w:r>
            <w:r w:rsidR="000A73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Review the first </w:t>
            </w:r>
            <w:r w:rsidR="006A530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handout (Reasons for fur trading)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orally</w:t>
            </w:r>
            <w:r w:rsidR="000A73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- </w:t>
            </w:r>
            <w:r w:rsidR="000A73A6">
              <w:rPr>
                <w:rFonts w:asciiTheme="majorHAnsi" w:hAnsiTheme="majorHAnsi" w:cstheme="majorHAnsi"/>
                <w:bCs/>
                <w:sz w:val="22"/>
                <w:szCs w:val="22"/>
              </w:rPr>
              <w:t>not sure about that part yet it might be too much</w:t>
            </w:r>
            <w:r w:rsidR="006C5D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</w:p>
          <w:p w14:paraId="62986C12" w14:textId="3E1B811A" w:rsidR="00025459" w:rsidRDefault="00025459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Why did the groups want to trade? </w:t>
            </w:r>
            <w:r w:rsidR="00643164">
              <w:rPr>
                <w:rFonts w:asciiTheme="majorHAnsi" w:hAnsiTheme="majorHAnsi" w:cstheme="majorHAnsi"/>
                <w:bCs/>
                <w:sz w:val="22"/>
                <w:szCs w:val="22"/>
              </w:rPr>
              <w:t>E= to gain new knowledge and furs</w:t>
            </w:r>
            <w:r w:rsidR="00D90BC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I= to gain new technologies to use against their enemies</w:t>
            </w:r>
          </w:p>
          <w:p w14:paraId="40348A60" w14:textId="5FB59076" w:rsidR="00D90BC3" w:rsidRDefault="00D90BC3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What goods did they get</w:t>
            </w:r>
            <w:r w:rsidR="0044556A">
              <w:rPr>
                <w:rFonts w:asciiTheme="majorHAnsi" w:hAnsiTheme="majorHAnsi" w:cstheme="majorHAnsi"/>
                <w:bCs/>
                <w:sz w:val="22"/>
                <w:szCs w:val="22"/>
              </w:rPr>
              <w:t>? E= variety of furs</w:t>
            </w:r>
            <w:r w:rsidR="00FE275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new knowledge</w:t>
            </w:r>
            <w:r w:rsidR="0044556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I=</w:t>
            </w:r>
            <w:r w:rsidR="00F019F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new materials they did not have before (</w:t>
            </w:r>
            <w:proofErr w:type="spellStart"/>
            <w:proofErr w:type="gramStart"/>
            <w:r w:rsidR="00F019F8">
              <w:rPr>
                <w:rFonts w:asciiTheme="majorHAnsi" w:hAnsiTheme="majorHAnsi" w:cstheme="majorHAnsi"/>
                <w:bCs/>
                <w:sz w:val="22"/>
                <w:szCs w:val="22"/>
              </w:rPr>
              <w:t>ie</w:t>
            </w:r>
            <w:proofErr w:type="spellEnd"/>
            <w:proofErr w:type="gramEnd"/>
            <w:r w:rsidR="00F019F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axes, gun powder, </w:t>
            </w:r>
            <w:proofErr w:type="spellStart"/>
            <w:r w:rsidR="00F019F8">
              <w:rPr>
                <w:rFonts w:asciiTheme="majorHAnsi" w:hAnsiTheme="majorHAnsi" w:cstheme="majorHAnsi"/>
                <w:bCs/>
                <w:sz w:val="22"/>
                <w:szCs w:val="22"/>
              </w:rPr>
              <w:t>etc</w:t>
            </w:r>
            <w:proofErr w:type="spellEnd"/>
            <w:r w:rsidR="00F019F8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  <w:p w14:paraId="5373EAFD" w14:textId="37CC6519" w:rsidR="00FE275E" w:rsidRDefault="00FE275E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What new knowledge did they get? E=</w:t>
            </w:r>
            <w:r w:rsidR="00BB0F5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how to survive in the “New World” and to trap furs I=</w:t>
            </w:r>
            <w:r w:rsidR="00E81C9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how to make new materials for new technologies. **Students really struggled with that one previously.</w:t>
            </w:r>
          </w:p>
          <w:p w14:paraId="374F3B9C" w14:textId="34AA109C" w:rsidR="0043661A" w:rsidRDefault="0043661A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engage in this part by asking and answering questions demonstrating </w:t>
            </w:r>
            <w:r w:rsidR="00DC4576">
              <w:rPr>
                <w:rFonts w:asciiTheme="majorHAnsi" w:hAnsiTheme="majorHAnsi" w:cstheme="majorHAnsi"/>
                <w:bCs/>
                <w:sz w:val="22"/>
                <w:szCs w:val="22"/>
              </w:rPr>
              <w:t>how their learning has progressed since filling this worksheet out the first time.</w:t>
            </w:r>
          </w:p>
          <w:p w14:paraId="4854A205" w14:textId="77777777" w:rsidR="00DD6038" w:rsidRDefault="00DD6038" w:rsidP="00633A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C004AE3" w14:textId="77777777" w:rsidR="00F56D45" w:rsidRDefault="00F56D45" w:rsidP="0075792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Have a class discussion: </w:t>
            </w:r>
          </w:p>
          <w:p w14:paraId="07F2EFFC" w14:textId="0C759F62" w:rsidR="00B92B7C" w:rsidRDefault="00551231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>Whose</w:t>
            </w:r>
            <w:r w:rsidR="0031197B"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scores were better? Why?</w:t>
            </w:r>
          </w:p>
          <w:p w14:paraId="42AA43A8" w14:textId="02060F11" w:rsidR="001B247D" w:rsidRPr="008E20DD" w:rsidRDefault="001B247D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Who</w:t>
            </w:r>
            <w:r w:rsidR="00F4612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were you competing against? Who’s help did you need to succeed?</w:t>
            </w:r>
            <w:r w:rsidR="006000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How was this </w:t>
            </w:r>
            <w:proofErr w:type="gramStart"/>
            <w:r w:rsidR="00600096">
              <w:rPr>
                <w:rFonts w:asciiTheme="majorHAnsi" w:hAnsiTheme="majorHAnsi" w:cstheme="majorHAnsi"/>
                <w:bCs/>
                <w:sz w:val="22"/>
                <w:szCs w:val="22"/>
              </w:rPr>
              <w:t>similar to</w:t>
            </w:r>
            <w:proofErr w:type="gramEnd"/>
            <w:r w:rsidR="006000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fur trade?</w:t>
            </w:r>
          </w:p>
          <w:p w14:paraId="6B47431B" w14:textId="2B0683EB" w:rsidR="008E20DD" w:rsidRPr="008E20DD" w:rsidRDefault="00F56D45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were your </w:t>
            </w:r>
            <w:r w:rsidR="006A1AB5"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>favorite</w:t>
            </w:r>
            <w:r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cards? Did you prefer the knowledge cards or technology cards? </w:t>
            </w:r>
            <w:r w:rsidR="00F45F74">
              <w:rPr>
                <w:rFonts w:asciiTheme="majorHAnsi" w:hAnsiTheme="majorHAnsi" w:cstheme="majorHAnsi"/>
                <w:bCs/>
                <w:sz w:val="22"/>
                <w:szCs w:val="22"/>
              </w:rPr>
              <w:t>What was the most valuable item?</w:t>
            </w:r>
          </w:p>
          <w:p w14:paraId="063ABB26" w14:textId="7A357AD1" w:rsidR="008E20DD" w:rsidRDefault="00F56D45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did you think only being able to collect certain cards and not others? </w:t>
            </w:r>
          </w:p>
          <w:p w14:paraId="70B59D9B" w14:textId="773B5FAF" w:rsidR="00F46129" w:rsidRDefault="00DE2531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How easy was it to find the more valuable items at the end of the game? </w:t>
            </w:r>
            <w:r w:rsidR="006000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How was this </w:t>
            </w:r>
            <w:proofErr w:type="gramStart"/>
            <w:r w:rsidR="00600096">
              <w:rPr>
                <w:rFonts w:asciiTheme="majorHAnsi" w:hAnsiTheme="majorHAnsi" w:cstheme="majorHAnsi"/>
                <w:bCs/>
                <w:sz w:val="22"/>
                <w:szCs w:val="22"/>
              </w:rPr>
              <w:t>similar to</w:t>
            </w:r>
            <w:proofErr w:type="gramEnd"/>
            <w:r w:rsidR="0060009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fur trade?</w:t>
            </w:r>
          </w:p>
          <w:p w14:paraId="70468775" w14:textId="49F13090" w:rsidR="008E20DD" w:rsidRDefault="00F56D45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Working as a team was at the core of this lesson how did that work out for you? </w:t>
            </w:r>
            <w:r w:rsidR="004F11B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Did teams have a harder time </w:t>
            </w:r>
            <w:r w:rsidR="009E2586">
              <w:rPr>
                <w:rFonts w:asciiTheme="majorHAnsi" w:hAnsiTheme="majorHAnsi" w:cstheme="majorHAnsi"/>
                <w:bCs/>
                <w:sz w:val="22"/>
                <w:szCs w:val="22"/>
              </w:rPr>
              <w:t>if they were not working together?</w:t>
            </w:r>
          </w:p>
          <w:p w14:paraId="02F7EAF5" w14:textId="162A4FDD" w:rsidR="00F94551" w:rsidRPr="008E20DD" w:rsidRDefault="0031197B" w:rsidP="008E20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20DD">
              <w:rPr>
                <w:rFonts w:asciiTheme="majorHAnsi" w:hAnsiTheme="majorHAnsi" w:cstheme="majorHAnsi"/>
                <w:bCs/>
                <w:sz w:val="22"/>
                <w:szCs w:val="22"/>
              </w:rPr>
              <w:t>How does this simulate what the fur trade was really like?</w:t>
            </w:r>
          </w:p>
          <w:p w14:paraId="469BC0D0" w14:textId="011B689D" w:rsidR="0031197B" w:rsidRDefault="00DC4576" w:rsidP="0075792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</w:t>
            </w:r>
            <w:r w:rsidR="00635C25">
              <w:rPr>
                <w:rFonts w:asciiTheme="majorHAnsi" w:hAnsiTheme="majorHAnsi" w:cstheme="majorHAnsi"/>
                <w:bCs/>
                <w:sz w:val="22"/>
                <w:szCs w:val="22"/>
              </w:rPr>
              <w:t>answer these questions and relate their experience playing the game to these questions.</w:t>
            </w:r>
          </w:p>
          <w:p w14:paraId="043490D8" w14:textId="77777777" w:rsidR="00DC4576" w:rsidRDefault="00DC4576" w:rsidP="0075792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967038" w14:textId="4C15A551" w:rsidR="0031197B" w:rsidRPr="00633ADD" w:rsidRDefault="0031197B" w:rsidP="0075792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Give students time to finish filling out their worksheets that were given on the previous day.</w:t>
            </w:r>
          </w:p>
        </w:tc>
        <w:tc>
          <w:tcPr>
            <w:tcW w:w="1276" w:type="dxa"/>
          </w:tcPr>
          <w:p w14:paraId="4C4D39F1" w14:textId="079F6DC6" w:rsidR="00D3059F" w:rsidRDefault="004D0C2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5min</w:t>
            </w:r>
          </w:p>
          <w:p w14:paraId="3201789D" w14:textId="6E860743" w:rsidR="00D3059F" w:rsidRDefault="00D3059F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6D18090" w14:textId="77777777" w:rsidR="004D0C23" w:rsidRDefault="004D0C2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F1F52A4" w14:textId="77777777" w:rsidR="00D3059F" w:rsidRDefault="00D3059F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105506" w14:textId="77777777" w:rsidR="00D3059F" w:rsidRDefault="00D3059F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381A21E" w14:textId="77777777" w:rsidR="004D0C23" w:rsidRDefault="004D0C2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BCADD1" w14:textId="77777777" w:rsidR="004D0C23" w:rsidRDefault="004D0C2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A267A37" w14:textId="4F35459E" w:rsidR="00EE781F" w:rsidRDefault="001A201B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5-</w:t>
            </w:r>
            <w:r w:rsidR="00A86F43"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  <w:p w14:paraId="2634953E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91606D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5A6885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9D45535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11799C6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76C6E05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CAE11F2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B2BDD9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3E02C69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F72B2CE" w14:textId="77777777" w:rsidR="00DC4576" w:rsidRDefault="00DC4576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3859BE2" w14:textId="77777777" w:rsidR="00DC4576" w:rsidRDefault="00DC4576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5672BB6" w14:textId="77777777" w:rsidR="00DC4576" w:rsidRDefault="00DC4576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2021DD4" w14:textId="7040B720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</w:t>
            </w:r>
            <w:r w:rsidR="00DC4576">
              <w:rPr>
                <w:rFonts w:asciiTheme="majorHAnsi" w:hAnsiTheme="majorHAnsi" w:cstheme="majorHAnsi"/>
                <w:bCs/>
                <w:sz w:val="22"/>
                <w:szCs w:val="22"/>
              </w:rPr>
              <w:t>-15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min</w:t>
            </w:r>
          </w:p>
          <w:p w14:paraId="32E56BD5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75870D0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3433DD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34B4EA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AA4911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A922566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B870341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94C3C6F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A3DB1E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2DC0F55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6816A4A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FC4AFB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1382E9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A3BB3F5" w14:textId="77777777" w:rsidR="00A86F43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87A610E" w14:textId="77777777" w:rsidR="00635C25" w:rsidRDefault="00635C25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0E6ED4A" w14:textId="77777777" w:rsidR="00635C25" w:rsidRDefault="00635C25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E523F3" w14:textId="77777777" w:rsidR="00942C98" w:rsidRDefault="00942C98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05BD0BD" w14:textId="6CFCBCD5" w:rsidR="00A86F43" w:rsidRPr="004D1BFA" w:rsidRDefault="00A86F43" w:rsidP="00EE781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7A54CE" w:rsidRPr="002A3E24" w14:paraId="53575B4A" w14:textId="77777777" w:rsidTr="00893DAB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447272D8" w14:textId="77777777" w:rsidR="007A54CE" w:rsidRPr="00633ADD" w:rsidRDefault="004D6B7A" w:rsidP="00E147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CLOSING:</w:t>
            </w:r>
          </w:p>
          <w:p w14:paraId="40A635ED" w14:textId="13E2AA32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29AC1611" w14:textId="77777777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607C3341" w14:textId="43B512DF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 w:rsidR="000B1D88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</w:t>
            </w:r>
            <w:r w:rsidR="0028212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g</w:t>
            </w:r>
          </w:p>
          <w:p w14:paraId="02D3B3C0" w14:textId="1ECD00EE" w:rsidR="004D6B7A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</w:t>
            </w:r>
            <w:r w:rsidR="00D441B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”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7229" w:type="dxa"/>
          </w:tcPr>
          <w:p w14:paraId="311DC7DF" w14:textId="77777777" w:rsidR="007A54CE" w:rsidRDefault="007A54CE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EA37AD6" w14:textId="40F6C712" w:rsidR="00AE3847" w:rsidRPr="004D1BFA" w:rsidRDefault="0031197B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Wrap up by collecting answers and giving sheet as homework if it is not done yet.</w:t>
            </w:r>
          </w:p>
        </w:tc>
        <w:tc>
          <w:tcPr>
            <w:tcW w:w="1276" w:type="dxa"/>
          </w:tcPr>
          <w:p w14:paraId="3C5E2BBB" w14:textId="77777777" w:rsidR="007A54CE" w:rsidRDefault="007A54CE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0AC0C0F" w14:textId="06079EFC" w:rsidR="00A86F43" w:rsidRPr="004D1BFA" w:rsidRDefault="001A201B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</w:tc>
      </w:tr>
    </w:tbl>
    <w:p w14:paraId="1582B79F" w14:textId="7311B1F7" w:rsidR="00296F6E" w:rsidRDefault="00296F6E">
      <w:pPr>
        <w:rPr>
          <w:rFonts w:asciiTheme="majorHAnsi" w:hAnsiTheme="majorHAnsi" w:cstheme="majorHAnsi"/>
          <w:b/>
          <w:sz w:val="22"/>
          <w:szCs w:val="22"/>
        </w:rPr>
      </w:pPr>
    </w:p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this lesson is being observed, do you have a specific observation focus in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footerReference w:type="default" r:id="rId2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CF5E" w14:textId="77777777" w:rsidR="00742591" w:rsidRDefault="007425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BBF566" w14:textId="77777777" w:rsidR="00742591" w:rsidRDefault="007425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54E5" w14:textId="77777777" w:rsidR="00742591" w:rsidRDefault="007425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90BF10" w14:textId="77777777" w:rsidR="00742591" w:rsidRDefault="007425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A71"/>
    <w:multiLevelType w:val="hybridMultilevel"/>
    <w:tmpl w:val="05DC24C2"/>
    <w:lvl w:ilvl="0" w:tplc="FA7E6B40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408AA"/>
    <w:multiLevelType w:val="hybridMultilevel"/>
    <w:tmpl w:val="08DC5E94"/>
    <w:lvl w:ilvl="0" w:tplc="F38CE768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659C"/>
    <w:multiLevelType w:val="hybridMultilevel"/>
    <w:tmpl w:val="309C2320"/>
    <w:lvl w:ilvl="0" w:tplc="44EECF8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0041"/>
    <w:multiLevelType w:val="hybridMultilevel"/>
    <w:tmpl w:val="370078A2"/>
    <w:lvl w:ilvl="0" w:tplc="4D4E28DE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7998"/>
    <w:multiLevelType w:val="hybridMultilevel"/>
    <w:tmpl w:val="8444A192"/>
    <w:lvl w:ilvl="0" w:tplc="4810E35A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82F30"/>
    <w:multiLevelType w:val="hybridMultilevel"/>
    <w:tmpl w:val="B47C95DA"/>
    <w:lvl w:ilvl="0" w:tplc="0128C804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FE"/>
    <w:rsid w:val="000021D9"/>
    <w:rsid w:val="00002F6E"/>
    <w:rsid w:val="00005B3F"/>
    <w:rsid w:val="000136EF"/>
    <w:rsid w:val="000148F4"/>
    <w:rsid w:val="00020071"/>
    <w:rsid w:val="0002322A"/>
    <w:rsid w:val="00025459"/>
    <w:rsid w:val="00036CF8"/>
    <w:rsid w:val="0003760A"/>
    <w:rsid w:val="00040861"/>
    <w:rsid w:val="00052AA0"/>
    <w:rsid w:val="00057C2A"/>
    <w:rsid w:val="00072189"/>
    <w:rsid w:val="00082C86"/>
    <w:rsid w:val="00097C3B"/>
    <w:rsid w:val="000A0690"/>
    <w:rsid w:val="000A0AC3"/>
    <w:rsid w:val="000A73A6"/>
    <w:rsid w:val="000B100B"/>
    <w:rsid w:val="000B1D88"/>
    <w:rsid w:val="000B3E5E"/>
    <w:rsid w:val="000B6952"/>
    <w:rsid w:val="000B7571"/>
    <w:rsid w:val="000C2D8A"/>
    <w:rsid w:val="000C30E2"/>
    <w:rsid w:val="000C621D"/>
    <w:rsid w:val="000C65CD"/>
    <w:rsid w:val="000D13F0"/>
    <w:rsid w:val="000D5FC3"/>
    <w:rsid w:val="000D6085"/>
    <w:rsid w:val="000E0B2D"/>
    <w:rsid w:val="000F418F"/>
    <w:rsid w:val="000F5C53"/>
    <w:rsid w:val="000F7F01"/>
    <w:rsid w:val="00101B25"/>
    <w:rsid w:val="001076BB"/>
    <w:rsid w:val="001130E5"/>
    <w:rsid w:val="00127159"/>
    <w:rsid w:val="00132E45"/>
    <w:rsid w:val="00136BA4"/>
    <w:rsid w:val="00150849"/>
    <w:rsid w:val="001524B1"/>
    <w:rsid w:val="00162C3D"/>
    <w:rsid w:val="00165B3B"/>
    <w:rsid w:val="001720D5"/>
    <w:rsid w:val="00172D99"/>
    <w:rsid w:val="00176375"/>
    <w:rsid w:val="001903F5"/>
    <w:rsid w:val="001946A2"/>
    <w:rsid w:val="00194D77"/>
    <w:rsid w:val="001A201B"/>
    <w:rsid w:val="001A7A83"/>
    <w:rsid w:val="001B247D"/>
    <w:rsid w:val="001B3691"/>
    <w:rsid w:val="001B7074"/>
    <w:rsid w:val="001B7AAC"/>
    <w:rsid w:val="001D2E0E"/>
    <w:rsid w:val="001D2E7E"/>
    <w:rsid w:val="001E7CD4"/>
    <w:rsid w:val="001F5567"/>
    <w:rsid w:val="00201794"/>
    <w:rsid w:val="00207A50"/>
    <w:rsid w:val="00210166"/>
    <w:rsid w:val="00210CF5"/>
    <w:rsid w:val="00222B3C"/>
    <w:rsid w:val="0025102B"/>
    <w:rsid w:val="002562E6"/>
    <w:rsid w:val="00267D5F"/>
    <w:rsid w:val="00270524"/>
    <w:rsid w:val="002745CC"/>
    <w:rsid w:val="00280B79"/>
    <w:rsid w:val="00282122"/>
    <w:rsid w:val="002834C5"/>
    <w:rsid w:val="00285887"/>
    <w:rsid w:val="00286EEE"/>
    <w:rsid w:val="00292B0D"/>
    <w:rsid w:val="00296F6E"/>
    <w:rsid w:val="00297313"/>
    <w:rsid w:val="002A2BEC"/>
    <w:rsid w:val="002A3566"/>
    <w:rsid w:val="002A3E24"/>
    <w:rsid w:val="002A59A3"/>
    <w:rsid w:val="002D144B"/>
    <w:rsid w:val="002D1DBA"/>
    <w:rsid w:val="002E13FB"/>
    <w:rsid w:val="002E3E5C"/>
    <w:rsid w:val="002E576C"/>
    <w:rsid w:val="002E6722"/>
    <w:rsid w:val="002F0D88"/>
    <w:rsid w:val="00301E63"/>
    <w:rsid w:val="00302204"/>
    <w:rsid w:val="0030437D"/>
    <w:rsid w:val="003061B0"/>
    <w:rsid w:val="00307287"/>
    <w:rsid w:val="00307B50"/>
    <w:rsid w:val="00307CB8"/>
    <w:rsid w:val="0031197B"/>
    <w:rsid w:val="00316158"/>
    <w:rsid w:val="00325863"/>
    <w:rsid w:val="00325B6D"/>
    <w:rsid w:val="003300B9"/>
    <w:rsid w:val="00330DC8"/>
    <w:rsid w:val="0034255C"/>
    <w:rsid w:val="003503DB"/>
    <w:rsid w:val="00352CD3"/>
    <w:rsid w:val="0036120D"/>
    <w:rsid w:val="003707A0"/>
    <w:rsid w:val="00387CEA"/>
    <w:rsid w:val="003A0225"/>
    <w:rsid w:val="003A325F"/>
    <w:rsid w:val="003A6E99"/>
    <w:rsid w:val="003A7A6A"/>
    <w:rsid w:val="003B13BD"/>
    <w:rsid w:val="003B4AD3"/>
    <w:rsid w:val="003C3E22"/>
    <w:rsid w:val="003C7C5C"/>
    <w:rsid w:val="003D5EDF"/>
    <w:rsid w:val="003E5A6B"/>
    <w:rsid w:val="003E7258"/>
    <w:rsid w:val="004050D7"/>
    <w:rsid w:val="00411C2B"/>
    <w:rsid w:val="00415B47"/>
    <w:rsid w:val="00424817"/>
    <w:rsid w:val="0043035D"/>
    <w:rsid w:val="00430FFD"/>
    <w:rsid w:val="0043661A"/>
    <w:rsid w:val="004448EB"/>
    <w:rsid w:val="0044556A"/>
    <w:rsid w:val="00454B18"/>
    <w:rsid w:val="0048042E"/>
    <w:rsid w:val="00483BA2"/>
    <w:rsid w:val="004867A2"/>
    <w:rsid w:val="004924F6"/>
    <w:rsid w:val="004B5079"/>
    <w:rsid w:val="004C10E5"/>
    <w:rsid w:val="004D0C23"/>
    <w:rsid w:val="004D1741"/>
    <w:rsid w:val="004D1BFA"/>
    <w:rsid w:val="004D6B7A"/>
    <w:rsid w:val="004D713C"/>
    <w:rsid w:val="004F11BF"/>
    <w:rsid w:val="004F2CAE"/>
    <w:rsid w:val="00507AA7"/>
    <w:rsid w:val="0051558C"/>
    <w:rsid w:val="005220FB"/>
    <w:rsid w:val="00526A3B"/>
    <w:rsid w:val="005431D7"/>
    <w:rsid w:val="00551231"/>
    <w:rsid w:val="0056197D"/>
    <w:rsid w:val="00595146"/>
    <w:rsid w:val="005A0FF7"/>
    <w:rsid w:val="005A2D16"/>
    <w:rsid w:val="005C2C46"/>
    <w:rsid w:val="005C45F2"/>
    <w:rsid w:val="005C4848"/>
    <w:rsid w:val="005C5D40"/>
    <w:rsid w:val="005D13B2"/>
    <w:rsid w:val="005D6EFF"/>
    <w:rsid w:val="005D7076"/>
    <w:rsid w:val="005E286D"/>
    <w:rsid w:val="005F31E3"/>
    <w:rsid w:val="005F4ED2"/>
    <w:rsid w:val="00600096"/>
    <w:rsid w:val="0061256C"/>
    <w:rsid w:val="00620CD4"/>
    <w:rsid w:val="00621742"/>
    <w:rsid w:val="00622D1E"/>
    <w:rsid w:val="00623E81"/>
    <w:rsid w:val="00624127"/>
    <w:rsid w:val="00633ADD"/>
    <w:rsid w:val="00635C25"/>
    <w:rsid w:val="0063795D"/>
    <w:rsid w:val="00643164"/>
    <w:rsid w:val="00643A96"/>
    <w:rsid w:val="00644C97"/>
    <w:rsid w:val="00660EB3"/>
    <w:rsid w:val="00662DB8"/>
    <w:rsid w:val="006632BA"/>
    <w:rsid w:val="00665CC3"/>
    <w:rsid w:val="00673835"/>
    <w:rsid w:val="0067523F"/>
    <w:rsid w:val="006825B3"/>
    <w:rsid w:val="00691B8D"/>
    <w:rsid w:val="006A1AB5"/>
    <w:rsid w:val="006A4AB0"/>
    <w:rsid w:val="006A530F"/>
    <w:rsid w:val="006B15E3"/>
    <w:rsid w:val="006B69E2"/>
    <w:rsid w:val="006B7F25"/>
    <w:rsid w:val="006C41F1"/>
    <w:rsid w:val="006C5D95"/>
    <w:rsid w:val="006D4700"/>
    <w:rsid w:val="006E24B7"/>
    <w:rsid w:val="00703078"/>
    <w:rsid w:val="00704E4B"/>
    <w:rsid w:val="00707B64"/>
    <w:rsid w:val="00707CAA"/>
    <w:rsid w:val="00721747"/>
    <w:rsid w:val="007273E4"/>
    <w:rsid w:val="00740DA2"/>
    <w:rsid w:val="00742591"/>
    <w:rsid w:val="007507ED"/>
    <w:rsid w:val="0075792E"/>
    <w:rsid w:val="00760A6D"/>
    <w:rsid w:val="0076551E"/>
    <w:rsid w:val="007672F7"/>
    <w:rsid w:val="00784F27"/>
    <w:rsid w:val="00796CA8"/>
    <w:rsid w:val="00797F83"/>
    <w:rsid w:val="007A0B6E"/>
    <w:rsid w:val="007A54CE"/>
    <w:rsid w:val="007C355E"/>
    <w:rsid w:val="007D2BAC"/>
    <w:rsid w:val="007E3504"/>
    <w:rsid w:val="007F04B8"/>
    <w:rsid w:val="007F2C20"/>
    <w:rsid w:val="007F70D3"/>
    <w:rsid w:val="008156A9"/>
    <w:rsid w:val="00815F90"/>
    <w:rsid w:val="008175A0"/>
    <w:rsid w:val="0082137A"/>
    <w:rsid w:val="0083079B"/>
    <w:rsid w:val="008315DD"/>
    <w:rsid w:val="008321B1"/>
    <w:rsid w:val="008340C1"/>
    <w:rsid w:val="00834D1F"/>
    <w:rsid w:val="008418D1"/>
    <w:rsid w:val="008578B0"/>
    <w:rsid w:val="0086245E"/>
    <w:rsid w:val="00871273"/>
    <w:rsid w:val="008749B6"/>
    <w:rsid w:val="0087785A"/>
    <w:rsid w:val="0088093F"/>
    <w:rsid w:val="00883BC7"/>
    <w:rsid w:val="0088574E"/>
    <w:rsid w:val="0088649F"/>
    <w:rsid w:val="00893ACB"/>
    <w:rsid w:val="00893DAB"/>
    <w:rsid w:val="008C2B0E"/>
    <w:rsid w:val="008C45B2"/>
    <w:rsid w:val="008D223B"/>
    <w:rsid w:val="008D6367"/>
    <w:rsid w:val="008D7E47"/>
    <w:rsid w:val="008E1F70"/>
    <w:rsid w:val="008E20DD"/>
    <w:rsid w:val="008E4A75"/>
    <w:rsid w:val="008E4D9E"/>
    <w:rsid w:val="008E4EE3"/>
    <w:rsid w:val="008F1606"/>
    <w:rsid w:val="00900B71"/>
    <w:rsid w:val="009039D7"/>
    <w:rsid w:val="00914FBD"/>
    <w:rsid w:val="00917DB6"/>
    <w:rsid w:val="00931ACE"/>
    <w:rsid w:val="009359DF"/>
    <w:rsid w:val="00942C98"/>
    <w:rsid w:val="00953F40"/>
    <w:rsid w:val="009545EC"/>
    <w:rsid w:val="00965AC0"/>
    <w:rsid w:val="009722A2"/>
    <w:rsid w:val="009827C2"/>
    <w:rsid w:val="009921EC"/>
    <w:rsid w:val="009C5B9F"/>
    <w:rsid w:val="009E2586"/>
    <w:rsid w:val="009E4A59"/>
    <w:rsid w:val="009F4FF9"/>
    <w:rsid w:val="00A02D64"/>
    <w:rsid w:val="00A069EB"/>
    <w:rsid w:val="00A147C3"/>
    <w:rsid w:val="00A229CC"/>
    <w:rsid w:val="00A25610"/>
    <w:rsid w:val="00A31E84"/>
    <w:rsid w:val="00A508FE"/>
    <w:rsid w:val="00A56954"/>
    <w:rsid w:val="00A62F1A"/>
    <w:rsid w:val="00A86F43"/>
    <w:rsid w:val="00A87CB0"/>
    <w:rsid w:val="00A973CE"/>
    <w:rsid w:val="00AB5EB9"/>
    <w:rsid w:val="00AD148F"/>
    <w:rsid w:val="00AD5B96"/>
    <w:rsid w:val="00AE0780"/>
    <w:rsid w:val="00AE29A9"/>
    <w:rsid w:val="00AE3847"/>
    <w:rsid w:val="00AF764B"/>
    <w:rsid w:val="00B042CC"/>
    <w:rsid w:val="00B0549F"/>
    <w:rsid w:val="00B20FB3"/>
    <w:rsid w:val="00B23060"/>
    <w:rsid w:val="00B4321E"/>
    <w:rsid w:val="00B524FB"/>
    <w:rsid w:val="00B52BFA"/>
    <w:rsid w:val="00B536EB"/>
    <w:rsid w:val="00B55AD5"/>
    <w:rsid w:val="00B753CB"/>
    <w:rsid w:val="00B7615E"/>
    <w:rsid w:val="00B9028C"/>
    <w:rsid w:val="00B92B7C"/>
    <w:rsid w:val="00B9523C"/>
    <w:rsid w:val="00BB0F57"/>
    <w:rsid w:val="00BC4748"/>
    <w:rsid w:val="00BC7F4E"/>
    <w:rsid w:val="00BE7DA3"/>
    <w:rsid w:val="00BF10E7"/>
    <w:rsid w:val="00BF14F6"/>
    <w:rsid w:val="00C024D3"/>
    <w:rsid w:val="00C12AFE"/>
    <w:rsid w:val="00C37A84"/>
    <w:rsid w:val="00C477E6"/>
    <w:rsid w:val="00C70B64"/>
    <w:rsid w:val="00C71EF4"/>
    <w:rsid w:val="00C8481C"/>
    <w:rsid w:val="00C90C0D"/>
    <w:rsid w:val="00C91EB7"/>
    <w:rsid w:val="00CA28C9"/>
    <w:rsid w:val="00CA7A01"/>
    <w:rsid w:val="00CB4CBB"/>
    <w:rsid w:val="00CD0D9F"/>
    <w:rsid w:val="00CD6B4A"/>
    <w:rsid w:val="00CD7C2C"/>
    <w:rsid w:val="00CE1C43"/>
    <w:rsid w:val="00CE1D5C"/>
    <w:rsid w:val="00CE7D99"/>
    <w:rsid w:val="00CF39F4"/>
    <w:rsid w:val="00CF4880"/>
    <w:rsid w:val="00D01327"/>
    <w:rsid w:val="00D02D35"/>
    <w:rsid w:val="00D0386E"/>
    <w:rsid w:val="00D1153F"/>
    <w:rsid w:val="00D12190"/>
    <w:rsid w:val="00D2040C"/>
    <w:rsid w:val="00D2193F"/>
    <w:rsid w:val="00D21AC4"/>
    <w:rsid w:val="00D23AAA"/>
    <w:rsid w:val="00D3059F"/>
    <w:rsid w:val="00D40150"/>
    <w:rsid w:val="00D441B2"/>
    <w:rsid w:val="00D44E20"/>
    <w:rsid w:val="00D45ECB"/>
    <w:rsid w:val="00D505E8"/>
    <w:rsid w:val="00D54C55"/>
    <w:rsid w:val="00D84291"/>
    <w:rsid w:val="00D90BC3"/>
    <w:rsid w:val="00D9259D"/>
    <w:rsid w:val="00D9443B"/>
    <w:rsid w:val="00D95EBC"/>
    <w:rsid w:val="00DA2AED"/>
    <w:rsid w:val="00DC114A"/>
    <w:rsid w:val="00DC149A"/>
    <w:rsid w:val="00DC4576"/>
    <w:rsid w:val="00DC54FD"/>
    <w:rsid w:val="00DD6038"/>
    <w:rsid w:val="00DE0860"/>
    <w:rsid w:val="00DE2531"/>
    <w:rsid w:val="00DE51BE"/>
    <w:rsid w:val="00DE5787"/>
    <w:rsid w:val="00DF2460"/>
    <w:rsid w:val="00DF37ED"/>
    <w:rsid w:val="00E147E5"/>
    <w:rsid w:val="00E247FD"/>
    <w:rsid w:val="00E40F39"/>
    <w:rsid w:val="00E53F1B"/>
    <w:rsid w:val="00E64D29"/>
    <w:rsid w:val="00E81C98"/>
    <w:rsid w:val="00E86C1B"/>
    <w:rsid w:val="00E90F8E"/>
    <w:rsid w:val="00E94024"/>
    <w:rsid w:val="00E955B4"/>
    <w:rsid w:val="00EA358D"/>
    <w:rsid w:val="00EA4A2A"/>
    <w:rsid w:val="00EA5CDE"/>
    <w:rsid w:val="00EA7F34"/>
    <w:rsid w:val="00EB063E"/>
    <w:rsid w:val="00EB64BC"/>
    <w:rsid w:val="00ED7A4A"/>
    <w:rsid w:val="00EE4142"/>
    <w:rsid w:val="00EE781F"/>
    <w:rsid w:val="00EF14B3"/>
    <w:rsid w:val="00EF3A8B"/>
    <w:rsid w:val="00EF488A"/>
    <w:rsid w:val="00F015D0"/>
    <w:rsid w:val="00F019F8"/>
    <w:rsid w:val="00F0373B"/>
    <w:rsid w:val="00F078D1"/>
    <w:rsid w:val="00F07B7B"/>
    <w:rsid w:val="00F10196"/>
    <w:rsid w:val="00F11877"/>
    <w:rsid w:val="00F15650"/>
    <w:rsid w:val="00F16DE6"/>
    <w:rsid w:val="00F17684"/>
    <w:rsid w:val="00F250BD"/>
    <w:rsid w:val="00F25141"/>
    <w:rsid w:val="00F263FD"/>
    <w:rsid w:val="00F264AD"/>
    <w:rsid w:val="00F34692"/>
    <w:rsid w:val="00F42BB4"/>
    <w:rsid w:val="00F44FFC"/>
    <w:rsid w:val="00F45F74"/>
    <w:rsid w:val="00F46129"/>
    <w:rsid w:val="00F530C5"/>
    <w:rsid w:val="00F56D45"/>
    <w:rsid w:val="00F7025A"/>
    <w:rsid w:val="00F71C8B"/>
    <w:rsid w:val="00F7653E"/>
    <w:rsid w:val="00F77C16"/>
    <w:rsid w:val="00F824FE"/>
    <w:rsid w:val="00F830D5"/>
    <w:rsid w:val="00F8637B"/>
    <w:rsid w:val="00F92924"/>
    <w:rsid w:val="00F93C6D"/>
    <w:rsid w:val="00F94551"/>
    <w:rsid w:val="00F9516C"/>
    <w:rsid w:val="00F95BC9"/>
    <w:rsid w:val="00F97639"/>
    <w:rsid w:val="00FA4EFE"/>
    <w:rsid w:val="00FB05E6"/>
    <w:rsid w:val="00FB2BEC"/>
    <w:rsid w:val="00FC5FDA"/>
    <w:rsid w:val="00FD576B"/>
    <w:rsid w:val="00FE275E"/>
    <w:rsid w:val="00FE42E0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C9F99DD2-BDE1-B04B-B999-86AEB7F3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5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ompetencies" TargetMode="External"/><Relationship Id="rId18" Type="http://schemas.openxmlformats.org/officeDocument/2006/relationships/hyperlink" Target="https://curriculum.gov.bc.ca/classroom-assessm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www.dropbox.com/s/g7l0nd7jah1o927/InstructionalDesignMap.pdf?dl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curriculum.gov.bc.c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ropbox.com/s/g7l0nd7jah1o927/InstructionalDesignMap.pdf?dl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gov.bc.ca/assets/gov/education/administration/kindergarten-to-grade-12/indigenous-education/awp_moving_forwar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2E080-B694-406D-8E52-EECDF1F1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96</cp:revision>
  <cp:lastPrinted>2021-05-16T21:54:00Z</cp:lastPrinted>
  <dcterms:created xsi:type="dcterms:W3CDTF">2022-02-26T22:07:00Z</dcterms:created>
  <dcterms:modified xsi:type="dcterms:W3CDTF">2022-03-02T00:45:00Z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